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20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Year 11 Ancient History 2024</w:t>
      </w:r>
    </w:p>
    <w:tbl>
      <w:tblPr>
        <w:tblStyle w:val="Table1"/>
        <w:tblW w:w="8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1"/>
        <w:gridCol w:w="1792"/>
        <w:gridCol w:w="1741"/>
        <w:gridCol w:w="1843"/>
        <w:gridCol w:w="1523"/>
        <w:tblGridChange w:id="0">
          <w:tblGrid>
            <w:gridCol w:w="1841"/>
            <w:gridCol w:w="1792"/>
            <w:gridCol w:w="1741"/>
            <w:gridCol w:w="1843"/>
            <w:gridCol w:w="1523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vMerge w:val="restart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Source analysis and research </w:t>
            </w:r>
          </w:p>
          <w:p w:rsidR="00000000" w:rsidDel="00000000" w:rsidP="00000000" w:rsidRDefault="00000000" w:rsidRPr="00000000" w14:paraId="00000009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Investigating Ancient History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Research essay and presentation </w:t>
            </w:r>
          </w:p>
          <w:p w:rsidR="00000000" w:rsidDel="00000000" w:rsidP="00000000" w:rsidRDefault="00000000" w:rsidRPr="00000000" w14:paraId="0000000C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Investigation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Yearly Examination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Features of Ancient Societies</w:t>
            </w:r>
          </w:p>
        </w:tc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Week 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 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Week 9</w:t>
            </w:r>
          </w:p>
        </w:tc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AH11-6 AH11-7 AH11-9 AH11-10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AH11-3 AH11-4 AH11-5 AH11-6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AH11-8 AH11-9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AH11-1 AH11-2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AH11-6 AH11-7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AH11-9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Knowledge and understanding of course content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skills in the analysis and evaluation of sources and interpretations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Historical inquiry and research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 of historical understanding in appropriate forms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AH11-1 </w:t>
      </w:r>
      <w:r w:rsidDel="00000000" w:rsidR="00000000" w:rsidRPr="00000000">
        <w:rPr>
          <w:rtl w:val="0"/>
        </w:rPr>
        <w:t xml:space="preserve">describes the nature of continuity and change in the ancient world</w:t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AH11-2</w:t>
      </w:r>
      <w:r w:rsidDel="00000000" w:rsidR="00000000" w:rsidRPr="00000000">
        <w:rPr>
          <w:rtl w:val="0"/>
        </w:rPr>
        <w:t xml:space="preserve"> proposes ideas about the varying causes and effects of events and developments</w:t>
      </w:r>
    </w:p>
    <w:p w:rsidR="00000000" w:rsidDel="00000000" w:rsidP="00000000" w:rsidRDefault="00000000" w:rsidRPr="00000000" w14:paraId="0000003D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AH11-3</w:t>
      </w:r>
      <w:r w:rsidDel="00000000" w:rsidR="00000000" w:rsidRPr="00000000">
        <w:rPr>
          <w:rtl w:val="0"/>
        </w:rPr>
        <w:t xml:space="preserve"> analyses the role of historical features, individuals and groups in shaping the past</w:t>
      </w:r>
    </w:p>
    <w:p w:rsidR="00000000" w:rsidDel="00000000" w:rsidP="00000000" w:rsidRDefault="00000000" w:rsidRPr="00000000" w14:paraId="0000003E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AH11-4 </w:t>
      </w:r>
      <w:r w:rsidDel="00000000" w:rsidR="00000000" w:rsidRPr="00000000">
        <w:rPr>
          <w:rtl w:val="0"/>
        </w:rPr>
        <w:t xml:space="preserve">accounts for the different perspectives of individuals and groups </w:t>
      </w:r>
    </w:p>
    <w:p w:rsidR="00000000" w:rsidDel="00000000" w:rsidP="00000000" w:rsidRDefault="00000000" w:rsidRPr="00000000" w14:paraId="0000003F">
      <w:pPr>
        <w:spacing w:before="64" w:lineRule="auto"/>
        <w:ind w:right="48"/>
        <w:rPr/>
      </w:pPr>
      <w:r w:rsidDel="00000000" w:rsidR="00000000" w:rsidRPr="00000000">
        <w:rPr>
          <w:b w:val="1"/>
          <w:rtl w:val="0"/>
        </w:rPr>
        <w:t xml:space="preserve">AH11-5 </w:t>
      </w:r>
      <w:r w:rsidDel="00000000" w:rsidR="00000000" w:rsidRPr="00000000">
        <w:rPr>
          <w:rtl w:val="0"/>
        </w:rPr>
        <w:t xml:space="preserve">examines the significance of historical features, people, places, events and developments of the ancient world   </w:t>
      </w:r>
    </w:p>
    <w:p w:rsidR="00000000" w:rsidDel="00000000" w:rsidP="00000000" w:rsidRDefault="00000000" w:rsidRPr="00000000" w14:paraId="00000040">
      <w:pPr>
        <w:spacing w:before="64" w:lineRule="auto"/>
        <w:ind w:right="48"/>
        <w:rPr/>
      </w:pPr>
      <w:r w:rsidDel="00000000" w:rsidR="00000000" w:rsidRPr="00000000">
        <w:rPr>
          <w:b w:val="1"/>
          <w:rtl w:val="0"/>
        </w:rPr>
        <w:t xml:space="preserve">AH11-6</w:t>
      </w:r>
      <w:r w:rsidDel="00000000" w:rsidR="00000000" w:rsidRPr="00000000">
        <w:rPr>
          <w:rtl w:val="0"/>
        </w:rPr>
        <w:t xml:space="preserve"> analyses and interprets different types of sources for evidence to support an historical account or argument </w:t>
      </w:r>
    </w:p>
    <w:p w:rsidR="00000000" w:rsidDel="00000000" w:rsidP="00000000" w:rsidRDefault="00000000" w:rsidRPr="00000000" w14:paraId="00000041">
      <w:pPr>
        <w:spacing w:before="64" w:lineRule="auto"/>
        <w:ind w:right="48"/>
        <w:rPr/>
      </w:pPr>
      <w:r w:rsidDel="00000000" w:rsidR="00000000" w:rsidRPr="00000000">
        <w:rPr>
          <w:b w:val="1"/>
          <w:rtl w:val="0"/>
        </w:rPr>
        <w:t xml:space="preserve">AH11-7</w:t>
      </w:r>
      <w:r w:rsidDel="00000000" w:rsidR="00000000" w:rsidRPr="00000000">
        <w:rPr>
          <w:rtl w:val="0"/>
        </w:rPr>
        <w:t xml:space="preserve"> discusses and evaluates differing interpretations and representations of the past </w:t>
      </w:r>
    </w:p>
    <w:p w:rsidR="00000000" w:rsidDel="00000000" w:rsidP="00000000" w:rsidRDefault="00000000" w:rsidRPr="00000000" w14:paraId="00000042">
      <w:pPr>
        <w:spacing w:before="64" w:lineRule="auto"/>
        <w:ind w:right="48"/>
        <w:rPr/>
      </w:pPr>
      <w:r w:rsidDel="00000000" w:rsidR="00000000" w:rsidRPr="00000000">
        <w:rPr>
          <w:b w:val="1"/>
          <w:rtl w:val="0"/>
        </w:rPr>
        <w:t xml:space="preserve">AH11-8</w:t>
      </w:r>
      <w:r w:rsidDel="00000000" w:rsidR="00000000" w:rsidRPr="00000000">
        <w:rPr>
          <w:rtl w:val="0"/>
        </w:rPr>
        <w:t xml:space="preserve"> plans and conducts historical investigations and presents reasoned conclusions, using relevant evidence from a range of sources </w:t>
      </w:r>
    </w:p>
    <w:p w:rsidR="00000000" w:rsidDel="00000000" w:rsidP="00000000" w:rsidRDefault="00000000" w:rsidRPr="00000000" w14:paraId="00000043">
      <w:pPr>
        <w:spacing w:before="64" w:lineRule="auto"/>
        <w:ind w:right="48"/>
        <w:rPr/>
      </w:pPr>
      <w:r w:rsidDel="00000000" w:rsidR="00000000" w:rsidRPr="00000000">
        <w:rPr>
          <w:b w:val="1"/>
          <w:rtl w:val="0"/>
        </w:rPr>
        <w:t xml:space="preserve">AH11-9</w:t>
      </w:r>
      <w:r w:rsidDel="00000000" w:rsidR="00000000" w:rsidRPr="00000000">
        <w:rPr>
          <w:rtl w:val="0"/>
        </w:rPr>
        <w:t xml:space="preserve"> communicates historical understanding, using historical knowledge, concepts and terms, in appropriate and well-structured forms </w:t>
      </w:r>
    </w:p>
    <w:p w:rsidR="00000000" w:rsidDel="00000000" w:rsidP="00000000" w:rsidRDefault="00000000" w:rsidRPr="00000000" w14:paraId="00000044">
      <w:pPr>
        <w:spacing w:before="64" w:lineRule="auto"/>
        <w:ind w:right="48"/>
        <w:rPr>
          <w:rFonts w:ascii="Arial" w:cs="Arial" w:eastAsia="Arial" w:hAnsi="Arial"/>
          <w:color w:val="d2363b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AH11-10</w:t>
      </w:r>
      <w:r w:rsidDel="00000000" w:rsidR="00000000" w:rsidRPr="00000000">
        <w:rPr>
          <w:rtl w:val="0"/>
        </w:rPr>
        <w:t xml:space="preserve"> discusses contemporary methods and issues involved in the investigation of ancient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64" w:lineRule="auto"/>
        <w:ind w:right="48"/>
        <w:jc w:val="center"/>
        <w:rPr>
          <w:rFonts w:ascii="Arial" w:cs="Arial" w:eastAsia="Arial" w:hAnsi="Arial"/>
          <w:b w:val="1"/>
          <w:color w:val="d2363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64" w:lineRule="auto"/>
        <w:ind w:right="48"/>
        <w:jc w:val="center"/>
        <w:rPr>
          <w:rFonts w:ascii="Arial" w:cs="Arial" w:eastAsia="Arial" w:hAnsi="Arial"/>
          <w:b w:val="1"/>
          <w:color w:val="d2363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3eUvmV++qM6FqDAWIDyh1nwxZA==">CgMxLjA4AHIhMW9PRXRhemNFV2pJeFpBcEhOOUdVQUZpVVJoaktMMzhI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